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9C12" w14:textId="158DD074" w:rsidR="00A072F0" w:rsidRPr="00A072F0" w:rsidRDefault="00A072F0" w:rsidP="00A072F0">
      <w:pPr>
        <w:spacing w:after="120" w:line="360" w:lineRule="auto"/>
        <w:jc w:val="center"/>
        <w:rPr>
          <w:rFonts w:ascii="Garamond" w:hAnsi="Garamond"/>
          <w:b/>
          <w:bCs/>
          <w:smallCaps/>
        </w:rPr>
      </w:pPr>
      <w:r w:rsidRPr="00A072F0">
        <w:rPr>
          <w:rFonts w:ascii="Garamond" w:hAnsi="Garamond"/>
          <w:b/>
          <w:bCs/>
          <w:smallCaps/>
        </w:rPr>
        <w:t>Orientações – Campanha Eleitoral em Universidades Públicas</w:t>
      </w:r>
    </w:p>
    <w:p w14:paraId="32069137" w14:textId="155C5740" w:rsidR="00B83BAD" w:rsidRDefault="00882662" w:rsidP="00882662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01.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Como é de conhecimento de todos, as Universidades Públicas sempre foram – e ainda são – um espaço de muita efervescência política, o que se intensifica nos períodos eleitorais. </w:t>
      </w:r>
    </w:p>
    <w:p w14:paraId="594280BE" w14:textId="31A7E049" w:rsidR="00882662" w:rsidRDefault="00882662" w:rsidP="00882662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02.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Ocorre que, a partir de 2018, com o crescimento do campo reacionário, capitaneado pelo Bolsonarismo, e considerando que as Universidades era</w:t>
      </w:r>
      <w:r w:rsidR="00A072F0">
        <w:rPr>
          <w:rFonts w:ascii="Garamond" w:hAnsi="Garamond"/>
        </w:rPr>
        <w:t>m</w:t>
      </w:r>
      <w:r>
        <w:rPr>
          <w:rFonts w:ascii="Garamond" w:hAnsi="Garamond"/>
        </w:rPr>
        <w:t xml:space="preserve"> um campo de maior protagonismo da esquerda, inici</w:t>
      </w:r>
      <w:r w:rsidR="00A072F0">
        <w:rPr>
          <w:rFonts w:ascii="Garamond" w:hAnsi="Garamond"/>
        </w:rPr>
        <w:t>ou</w:t>
      </w:r>
      <w:r>
        <w:rPr>
          <w:rFonts w:ascii="Garamond" w:hAnsi="Garamond"/>
        </w:rPr>
        <w:t xml:space="preserve">-se com muita força, via forças policiais, mas também poder judiciário, um movimento de cerceamento da livre manifestação política nas Universidades, sob o argumento de que seriam propagandas eleitorais irregulares. </w:t>
      </w:r>
    </w:p>
    <w:p w14:paraId="09B6A87C" w14:textId="03F60A9F" w:rsidR="00882662" w:rsidRDefault="00882662" w:rsidP="00882662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03.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Em face disto, no decorrer do segundo turno de 2018, a Procuradoria</w:t>
      </w:r>
      <w:r w:rsidR="00A072F0">
        <w:rPr>
          <w:rFonts w:ascii="Garamond" w:hAnsi="Garamond"/>
        </w:rPr>
        <w:t>-</w:t>
      </w:r>
      <w:r>
        <w:rPr>
          <w:rFonts w:ascii="Garamond" w:hAnsi="Garamond"/>
        </w:rPr>
        <w:t xml:space="preserve">Geral da República acionou o </w:t>
      </w:r>
      <w:r w:rsidRPr="00E23EB1">
        <w:rPr>
          <w:rFonts w:ascii="Garamond" w:hAnsi="Garamond"/>
          <w:u w:val="double"/>
        </w:rPr>
        <w:t xml:space="preserve">Supremo Tribunal </w:t>
      </w:r>
      <w:r w:rsidRPr="00882662">
        <w:rPr>
          <w:rFonts w:ascii="Garamond" w:hAnsi="Garamond"/>
          <w:u w:val="double"/>
        </w:rPr>
        <w:t>Federal para combater decisões de juízes eleitorais e ações policiais que determinaram buscas e apreensões de manifestos acadêmicos, proibiram aulas públicas e palestras com temas políticos/eleitorais e interromperam reuniões de professores e estudantes em diversas universidades brasileiras</w:t>
      </w:r>
      <w:r w:rsidRPr="00882662">
        <w:rPr>
          <w:rFonts w:ascii="Garamond" w:hAnsi="Garamond"/>
        </w:rPr>
        <w:t>, sob a justificativa de fiscalizar propagandas eleitorais irregulares.</w:t>
      </w:r>
    </w:p>
    <w:p w14:paraId="747609F6" w14:textId="4E6DC5EC" w:rsidR="00882662" w:rsidRDefault="00882662" w:rsidP="00882662">
      <w:pPr>
        <w:spacing w:after="12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04.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No julgamento da referida ação (ADPF 548), o </w:t>
      </w:r>
      <w:r w:rsidRPr="00882662">
        <w:rPr>
          <w:rFonts w:ascii="Garamond" w:hAnsi="Garamond"/>
        </w:rPr>
        <w:t>Plenário do STF, confirmando decisão liminar anterior, julgou a ação totalmente procedente para</w:t>
      </w:r>
      <w:r>
        <w:rPr>
          <w:rFonts w:ascii="Garamond" w:hAnsi="Garamond"/>
        </w:rPr>
        <w:t xml:space="preserve"> d</w:t>
      </w:r>
      <w:r w:rsidRPr="00882662">
        <w:rPr>
          <w:rFonts w:ascii="Garamond" w:hAnsi="Garamond"/>
        </w:rPr>
        <w:t>eclarar a nulidade das decisões judiciais impugnadas (oriundas de zonas eleitorais de Campina Grande/PB, Rio Grande do Sul, Belo Horizonte/MG, Niterói/RJ e Dourados/MS) que haviam censurado manifestações de pensamento ou autorizado buscas em camp</w:t>
      </w:r>
      <w:r w:rsidR="00A072F0">
        <w:rPr>
          <w:rFonts w:ascii="Garamond" w:hAnsi="Garamond"/>
        </w:rPr>
        <w:t>i</w:t>
      </w:r>
      <w:r w:rsidRPr="00882662">
        <w:rPr>
          <w:rFonts w:ascii="Garamond" w:hAnsi="Garamond"/>
        </w:rPr>
        <w:t xml:space="preserve"> universitários</w:t>
      </w:r>
      <w:r>
        <w:rPr>
          <w:rFonts w:ascii="Garamond" w:hAnsi="Garamond"/>
        </w:rPr>
        <w:t xml:space="preserve">, </w:t>
      </w:r>
      <w:r w:rsidRPr="00882662">
        <w:rPr>
          <w:rFonts w:ascii="Garamond" w:hAnsi="Garamond"/>
          <w:b/>
          <w:bCs/>
        </w:rPr>
        <w:t>declarando inconstitucional qualquer interpretação dos artigos 24 e 37 da Lei nº 9.504/1997</w:t>
      </w:r>
      <w:r w:rsidR="00A20C1F">
        <w:rPr>
          <w:rStyle w:val="Refdenotaderodap"/>
          <w:rFonts w:ascii="Garamond" w:hAnsi="Garamond"/>
          <w:b/>
          <w:bCs/>
        </w:rPr>
        <w:footnoteReference w:id="1"/>
      </w:r>
      <w:r w:rsidRPr="00882662">
        <w:rPr>
          <w:rFonts w:ascii="Garamond" w:hAnsi="Garamond"/>
          <w:b/>
          <w:bCs/>
        </w:rPr>
        <w:t xml:space="preserve"> que fundamente atos judiciais ou administrativos que permitam a entrada de policiais ou agentes públicos nas universidades, a apreensão de documentos acadêmicos, a interrupção de aulas e assembleias, ou a punição disciplinar de alunos e docentes por expressarem livremente suas ideias e pensamentos.</w:t>
      </w:r>
    </w:p>
    <w:p w14:paraId="79FF32B3" w14:textId="5B73B545" w:rsidR="00882662" w:rsidRDefault="00882662" w:rsidP="00882662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05.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20C1F" w:rsidRPr="00A20C1F">
        <w:rPr>
          <w:rFonts w:ascii="Garamond" w:hAnsi="Garamond"/>
        </w:rPr>
        <w:t xml:space="preserve">A decisão focou na liberdade de manifestação do pensamento e expressão (art. 5º, IV e IX, CF), na autonomia universitária (art. 207, CF), nos princípios de ensino e </w:t>
      </w:r>
      <w:r w:rsidR="00A20C1F" w:rsidRPr="00A20C1F">
        <w:rPr>
          <w:rFonts w:ascii="Garamond" w:hAnsi="Garamond"/>
        </w:rPr>
        <w:lastRenderedPageBreak/>
        <w:t xml:space="preserve">pluralismo de ideias (art. 206, II e III, CF), liberdade de reunião (art. 5º, XVI, CF), princípio democrático e proibição de censura (art. 1º, V, e art. 220, §2º, CF), </w:t>
      </w:r>
      <w:r w:rsidR="00A20C1F">
        <w:rPr>
          <w:rFonts w:ascii="Garamond" w:hAnsi="Garamond"/>
        </w:rPr>
        <w:t xml:space="preserve">bem como na vedação de </w:t>
      </w:r>
      <w:r w:rsidR="00A20C1F" w:rsidRPr="00A20C1F">
        <w:rPr>
          <w:rFonts w:ascii="Garamond" w:hAnsi="Garamond"/>
        </w:rPr>
        <w:t>interpretação restritiva das normas eleitorais (art. 37 da Lei nº 9.504/1997).</w:t>
      </w:r>
    </w:p>
    <w:p w14:paraId="3A1A2337" w14:textId="3DDB9CC4" w:rsidR="00A20C1F" w:rsidRDefault="00A20C1F" w:rsidP="00882662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06.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 ementa do acórdão da ADPF 548 ficou com o seguinte teor: </w:t>
      </w:r>
    </w:p>
    <w:p w14:paraId="4149D27F" w14:textId="77777777" w:rsidR="00A20C1F" w:rsidRDefault="00A20C1F" w:rsidP="00A20C1F">
      <w:pPr>
        <w:spacing w:after="120" w:line="276" w:lineRule="auto"/>
        <w:ind w:left="1134"/>
        <w:jc w:val="both"/>
        <w:rPr>
          <w:rFonts w:ascii="Garamond" w:hAnsi="Garamond"/>
        </w:rPr>
      </w:pPr>
      <w:r w:rsidRPr="00A20C1F">
        <w:rPr>
          <w:rFonts w:ascii="Garamond" w:hAnsi="Garamond"/>
        </w:rPr>
        <w:t xml:space="preserve">EMENTA: ARGUIÇÃO DE DESCUMPRIMENTO DE PRECEITO FUNDAMENTAL. ELEIÇÕES 2018: MANIFESTAÇÕES EM INSTITUIÇÕES DE ENSINO SUPERIOR. ATOS DO PODER PÚBLICO: BUSCAS E APREENSÕES. ALEGADO DESCUMPRIMENTO A PRECEITOS FUNDAMENTAIS: PLAUSIBILIDADE JURÍDICA DEMONSTRADA. URGÊNCIA QUALIFICADA CONFIGURADA. MEDIDA CAUTELAR DEFERIDA E REFERENDADA. </w:t>
      </w:r>
    </w:p>
    <w:p w14:paraId="707E4E8E" w14:textId="77777777" w:rsidR="00A20C1F" w:rsidRDefault="00A20C1F" w:rsidP="00A20C1F">
      <w:pPr>
        <w:spacing w:after="120" w:line="276" w:lineRule="auto"/>
        <w:ind w:left="1134"/>
        <w:jc w:val="both"/>
        <w:rPr>
          <w:rFonts w:ascii="Garamond" w:hAnsi="Garamond"/>
        </w:rPr>
      </w:pPr>
      <w:r w:rsidRPr="00A20C1F">
        <w:rPr>
          <w:rFonts w:ascii="Garamond" w:hAnsi="Garamond"/>
        </w:rPr>
        <w:t>1. Adequada a utilização da arguição de descumprimento de preceito fundamental porque respeitado o princípio da subsidiariedade e processualmente viável a impugnação, por seu intermédio, de decisões judiciais ou de interpretações judiciais de textos normativos constitucionais.</w:t>
      </w:r>
    </w:p>
    <w:p w14:paraId="4DE7EE60" w14:textId="77777777" w:rsidR="00A20C1F" w:rsidRDefault="00A20C1F" w:rsidP="00A20C1F">
      <w:pPr>
        <w:spacing w:after="120" w:line="276" w:lineRule="auto"/>
        <w:ind w:left="1134"/>
        <w:jc w:val="both"/>
        <w:rPr>
          <w:rFonts w:ascii="Garamond" w:hAnsi="Garamond"/>
        </w:rPr>
      </w:pPr>
      <w:r w:rsidRPr="00A20C1F">
        <w:rPr>
          <w:rFonts w:ascii="Garamond" w:hAnsi="Garamond"/>
        </w:rPr>
        <w:t xml:space="preserve"> 2. Suspensos os efeitos de atos judiciais ou administrativos, emanados de autoridade pública que possibilitem, pelos quais se determinem ou promovam o ingresso de agentes públicos em universidades públicas e privadas, o recolhimento de documentos, a interrupção de aulas, debates ou manifestações de docentes e discentes universitários, a atividade disciplinar docente e discente e a coleta irregular de depoimentos desses cidadãos pela prática de manifestação livre de ideias e divulgação do pensamento nos ambientes universitários. </w:t>
      </w:r>
    </w:p>
    <w:p w14:paraId="750D1BF0" w14:textId="77777777" w:rsidR="00A20C1F" w:rsidRPr="00A20C1F" w:rsidRDefault="00A20C1F" w:rsidP="00A20C1F">
      <w:pPr>
        <w:spacing w:after="120" w:line="276" w:lineRule="auto"/>
        <w:ind w:left="1134"/>
        <w:jc w:val="both"/>
        <w:rPr>
          <w:rFonts w:ascii="Garamond" w:hAnsi="Garamond"/>
          <w:b/>
          <w:bCs/>
        </w:rPr>
      </w:pPr>
      <w:r w:rsidRPr="00A20C1F">
        <w:rPr>
          <w:rFonts w:ascii="Garamond" w:hAnsi="Garamond"/>
          <w:b/>
          <w:bCs/>
        </w:rPr>
        <w:t xml:space="preserve">3. Pluralismo não é unanimidade, impedir a manifestação do diferente e à livre manifestação de todas as formas de apreender, aprender e manifestar a sua compreensão de mundo é algemar as liberdades, destruir o direito e exterminar a democracia. </w:t>
      </w:r>
    </w:p>
    <w:p w14:paraId="555AC9D5" w14:textId="55B0A740" w:rsidR="00A20C1F" w:rsidRDefault="00A20C1F" w:rsidP="00A20C1F">
      <w:pPr>
        <w:spacing w:after="120" w:line="276" w:lineRule="auto"/>
        <w:ind w:left="1134"/>
        <w:jc w:val="both"/>
        <w:rPr>
          <w:rFonts w:ascii="Garamond" w:hAnsi="Garamond"/>
        </w:rPr>
      </w:pPr>
      <w:r w:rsidRPr="00A20C1F">
        <w:rPr>
          <w:rFonts w:ascii="Garamond" w:hAnsi="Garamond"/>
          <w:b/>
          <w:bCs/>
        </w:rPr>
        <w:t>4. O pluralismo de ideias está na base da autonomia universitária como extensão do princípio fundante da democracia brasileira, que é exposta no inc. V do art. 1º da Constituição da República.</w:t>
      </w:r>
      <w:r>
        <w:rPr>
          <w:rFonts w:ascii="Garamond" w:hAnsi="Garamond"/>
        </w:rPr>
        <w:t xml:space="preserve"> (grifamos)</w:t>
      </w:r>
    </w:p>
    <w:p w14:paraId="7678C226" w14:textId="12A04606" w:rsidR="00A20C1F" w:rsidRDefault="00A20C1F" w:rsidP="00A20C1F">
      <w:pPr>
        <w:spacing w:after="120" w:line="360" w:lineRule="auto"/>
        <w:jc w:val="both"/>
        <w:rPr>
          <w:rFonts w:ascii="Garamond" w:hAnsi="Garamond"/>
        </w:rPr>
      </w:pPr>
    </w:p>
    <w:p w14:paraId="245C86A8" w14:textId="3BB9B4DD" w:rsidR="00A20C1F" w:rsidRDefault="00A20C1F" w:rsidP="00A20C1F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07.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Em virtude deste julgado, o Tribunal Superior Eleitoral em 2021, quan</w:t>
      </w:r>
      <w:r w:rsidR="00A072F0">
        <w:rPr>
          <w:rFonts w:ascii="Garamond" w:hAnsi="Garamond"/>
        </w:rPr>
        <w:t>d</w:t>
      </w:r>
      <w:r>
        <w:rPr>
          <w:rFonts w:ascii="Garamond" w:hAnsi="Garamond"/>
        </w:rPr>
        <w:t xml:space="preserve">o atualizou suas Resoluções para o pleito de 2022, ajustou as normas que regulamentam o pleito eleitoral, de modo a refletir o entendimento acima explicitado. </w:t>
      </w:r>
    </w:p>
    <w:p w14:paraId="6829D5E2" w14:textId="2A619F61" w:rsidR="00A20C1F" w:rsidRDefault="00A20C1F" w:rsidP="00A20C1F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08.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Assim, </w:t>
      </w:r>
      <w:r w:rsidRPr="00A20C1F">
        <w:rPr>
          <w:rFonts w:ascii="Garamond" w:hAnsi="Garamond"/>
        </w:rPr>
        <w:t>a Res. TSE nº 23.671, de 14 de dezembro de 2021, alterou a Res. TSE nº 23.610, de 18 de dezembro de 2019,</w:t>
      </w:r>
      <w:r>
        <w:rPr>
          <w:rFonts w:ascii="Garamond" w:hAnsi="Garamond"/>
        </w:rPr>
        <w:t xml:space="preserve"> </w:t>
      </w:r>
      <w:r w:rsidRPr="00A20C1F">
        <w:rPr>
          <w:rFonts w:ascii="Garamond" w:hAnsi="Garamond"/>
          <w:u w:val="double"/>
        </w:rPr>
        <w:t>que dispõe sobre propaganda eleitoral</w:t>
      </w:r>
      <w:r>
        <w:rPr>
          <w:rFonts w:ascii="Garamond" w:hAnsi="Garamond"/>
        </w:rPr>
        <w:t xml:space="preserve">, </w:t>
      </w:r>
      <w:r w:rsidRPr="00A20C1F">
        <w:rPr>
          <w:rFonts w:ascii="Garamond" w:hAnsi="Garamond"/>
        </w:rPr>
        <w:t>para incluir o §10 ao art. 18 e assegurar a devida interpretação do art. 37 da Lei das Eleições:</w:t>
      </w:r>
    </w:p>
    <w:p w14:paraId="52D8833B" w14:textId="7A456603" w:rsidR="00CC56AA" w:rsidRDefault="00CC56AA" w:rsidP="00CC56AA">
      <w:pPr>
        <w:spacing w:after="120" w:line="276" w:lineRule="auto"/>
        <w:ind w:left="1134"/>
        <w:jc w:val="both"/>
        <w:rPr>
          <w:rFonts w:ascii="Garamond" w:hAnsi="Garamond"/>
        </w:rPr>
      </w:pPr>
      <w:r w:rsidRPr="00CC56AA">
        <w:rPr>
          <w:rFonts w:ascii="Garamond" w:hAnsi="Garamond"/>
        </w:rPr>
        <w:t xml:space="preserve">§ 10. O art. 37 da Lei nº 9.504/1997 não autoriza a prática de atos judiciais ou administrativos pelos quais se possibilite, determine ou promova o ingresso de pessoas agentes públicas em universidades públicas e privadas, o recolhimento de documentos, a interrupção de aulas, debates ou manifestações de docentes e discentes universitários, a atividade disciplinar docente e discente e a coleta irregular de depoimentos dessas cidadãs e desses cidadãos pela prática de manifestação livre de ideias e divulgação do pensamento nos ambientes universitários ou em equipamentos sob a administração de universidades públicas e privadas e serventes a seus fins e desempenhos. (ADPF nº 548/DF, </w:t>
      </w:r>
      <w:proofErr w:type="spellStart"/>
      <w:r w:rsidRPr="00CC56AA">
        <w:rPr>
          <w:rFonts w:ascii="Garamond" w:hAnsi="Garamond"/>
        </w:rPr>
        <w:t>DJe</w:t>
      </w:r>
      <w:proofErr w:type="spellEnd"/>
      <w:r w:rsidRPr="00CC56AA">
        <w:rPr>
          <w:rFonts w:ascii="Garamond" w:hAnsi="Garamond"/>
        </w:rPr>
        <w:t xml:space="preserve"> de 9.6.2020)." (NR)</w:t>
      </w:r>
    </w:p>
    <w:p w14:paraId="79DD7083" w14:textId="298EC6AB" w:rsidR="00CC56AA" w:rsidRDefault="00CC56AA" w:rsidP="00CC56AA">
      <w:pPr>
        <w:spacing w:after="120" w:line="276" w:lineRule="auto"/>
        <w:jc w:val="both"/>
        <w:rPr>
          <w:rFonts w:ascii="Garamond" w:hAnsi="Garamond"/>
        </w:rPr>
      </w:pPr>
    </w:p>
    <w:p w14:paraId="70DC4060" w14:textId="4AC94F6A" w:rsidR="00CC56AA" w:rsidRDefault="00CC56AA" w:rsidP="00CC56AA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09.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C56AA">
        <w:rPr>
          <w:rFonts w:ascii="Garamond" w:hAnsi="Garamond"/>
          <w:u w:val="double"/>
        </w:rPr>
        <w:t>Já quando foi atualizar as Resoluções para este pleito de 2026, o TSE, com muito mais ênfase</w:t>
      </w:r>
      <w:r>
        <w:rPr>
          <w:rFonts w:ascii="Garamond" w:hAnsi="Garamond"/>
        </w:rPr>
        <w:t>, via</w:t>
      </w:r>
      <w:r w:rsidRPr="00CC56AA">
        <w:rPr>
          <w:rFonts w:ascii="Garamond" w:hAnsi="Garamond"/>
        </w:rPr>
        <w:t xml:space="preserve"> Res. TSE nº 23.755/2026</w:t>
      </w:r>
      <w:r>
        <w:rPr>
          <w:rFonts w:ascii="Garamond" w:hAnsi="Garamond"/>
        </w:rPr>
        <w:t xml:space="preserve">, alterou novamente </w:t>
      </w:r>
      <w:r w:rsidRPr="00CC56AA">
        <w:rPr>
          <w:rFonts w:ascii="Garamond" w:hAnsi="Garamond"/>
        </w:rPr>
        <w:t>a Res. TSE nº 23.610/2019</w:t>
      </w:r>
      <w:r>
        <w:rPr>
          <w:rFonts w:ascii="Garamond" w:hAnsi="Garamond"/>
        </w:rPr>
        <w:t xml:space="preserve"> – que trata das propagandas eleitorais, como dito -</w:t>
      </w:r>
      <w:r w:rsidRPr="00CC56AA">
        <w:rPr>
          <w:rFonts w:ascii="Garamond" w:hAnsi="Garamond"/>
        </w:rPr>
        <w:t xml:space="preserve"> para incluir o inciso VIII ao art. 3º, </w:t>
      </w:r>
      <w:r w:rsidRPr="00CC56AA">
        <w:rPr>
          <w:rFonts w:ascii="Garamond" w:hAnsi="Garamond"/>
          <w:highlight w:val="yellow"/>
        </w:rPr>
        <w:t>a fim de assegurar expressamente a possibilidade de fazer campanha nas universidades, desde que não interrompa o funcionamento das atividades</w:t>
      </w:r>
      <w:r w:rsidRPr="00CC56AA">
        <w:rPr>
          <w:rFonts w:ascii="Garamond" w:hAnsi="Garamond"/>
        </w:rPr>
        <w:t>:</w:t>
      </w:r>
    </w:p>
    <w:p w14:paraId="31F7DEA7" w14:textId="369FAAB1" w:rsidR="00CC56AA" w:rsidRDefault="00CC56AA" w:rsidP="00CC56AA">
      <w:pPr>
        <w:spacing w:after="120" w:line="276" w:lineRule="auto"/>
        <w:ind w:left="1134"/>
        <w:jc w:val="both"/>
        <w:rPr>
          <w:rFonts w:ascii="Garamond" w:hAnsi="Garamond"/>
        </w:rPr>
      </w:pPr>
      <w:r w:rsidRPr="00CC56AA">
        <w:rPr>
          <w:rFonts w:ascii="Garamond" w:hAnsi="Garamond"/>
        </w:rPr>
        <w:t>Art. 3º Não configuram propaganda eleitoral antecipada, desde que não envolvam pedido explícito de voto, a menção à pretensa candidatura, a exaltação das qualidades pessoais das pré-candidatas e dos pré-candidatos e os seguintes atos, que poderão ter cobertura dos meios de comunicação social, inclusive via</w:t>
      </w:r>
      <w:r>
        <w:rPr>
          <w:rFonts w:ascii="Garamond" w:hAnsi="Garamond"/>
        </w:rPr>
        <w:t xml:space="preserve"> internet:</w:t>
      </w:r>
    </w:p>
    <w:p w14:paraId="6985220C" w14:textId="09194B1B" w:rsidR="00CC56AA" w:rsidRDefault="00CC56AA" w:rsidP="00CC56AA">
      <w:pPr>
        <w:spacing w:after="120" w:line="276" w:lineRule="auto"/>
        <w:ind w:left="1134"/>
        <w:jc w:val="both"/>
        <w:rPr>
          <w:rFonts w:ascii="Garamond" w:hAnsi="Garamond"/>
        </w:rPr>
      </w:pPr>
      <w:r>
        <w:rPr>
          <w:rFonts w:ascii="Garamond" w:hAnsi="Garamond"/>
        </w:rPr>
        <w:t>(...)</w:t>
      </w:r>
    </w:p>
    <w:p w14:paraId="31D0930E" w14:textId="694AFE96" w:rsidR="00CC56AA" w:rsidRDefault="00CC56AA" w:rsidP="00CC56AA">
      <w:pPr>
        <w:spacing w:after="120" w:line="276" w:lineRule="auto"/>
        <w:ind w:left="1134"/>
        <w:jc w:val="both"/>
        <w:rPr>
          <w:rFonts w:ascii="Garamond" w:hAnsi="Garamond"/>
        </w:rPr>
      </w:pPr>
      <w:r w:rsidRPr="00CC56AA">
        <w:rPr>
          <w:rFonts w:ascii="Garamond" w:hAnsi="Garamond"/>
        </w:rPr>
        <w:t xml:space="preserve">VIII - </w:t>
      </w:r>
      <w:r w:rsidRPr="00CC56AA">
        <w:rPr>
          <w:rFonts w:ascii="Garamond" w:hAnsi="Garamond"/>
          <w:b/>
          <w:bCs/>
        </w:rPr>
        <w:t>a manifestação espontânea</w:t>
      </w:r>
      <w:r w:rsidRPr="00CC56AA">
        <w:rPr>
          <w:rFonts w:ascii="Garamond" w:hAnsi="Garamond"/>
        </w:rPr>
        <w:t xml:space="preserve">, </w:t>
      </w:r>
      <w:r w:rsidRPr="00CC56AA">
        <w:rPr>
          <w:rFonts w:ascii="Garamond" w:hAnsi="Garamond"/>
          <w:u w:val="double"/>
        </w:rPr>
        <w:t>sem financiamento direto ou indireto de pré-candidatas, pré-candidatos, partidos ou federações</w:t>
      </w:r>
      <w:r w:rsidRPr="00CC56AA">
        <w:rPr>
          <w:rFonts w:ascii="Garamond" w:hAnsi="Garamond"/>
        </w:rPr>
        <w:t xml:space="preserve">, </w:t>
      </w:r>
      <w:r w:rsidRPr="00CC56AA">
        <w:rPr>
          <w:rFonts w:ascii="Garamond" w:hAnsi="Garamond"/>
          <w:b/>
          <w:bCs/>
        </w:rPr>
        <w:t>em ambientes universitários, escolares, comunitários ou de movimentos sociais, desde que não comprometa a regular prestação dos serviços</w:t>
      </w:r>
      <w:r w:rsidRPr="00CC56AA">
        <w:rPr>
          <w:rFonts w:ascii="Garamond" w:hAnsi="Garamond"/>
        </w:rPr>
        <w:t>, respondendo os responsáveis por eventuais abusos nos termos da lei. </w:t>
      </w:r>
      <w:r w:rsidRPr="00A20C1F">
        <w:rPr>
          <w:rFonts w:ascii="Garamond" w:hAnsi="Garamond"/>
        </w:rPr>
        <w:t xml:space="preserve"> </w:t>
      </w:r>
    </w:p>
    <w:p w14:paraId="3D13CAC6" w14:textId="77777777" w:rsidR="00CC56AA" w:rsidRDefault="00CC56AA" w:rsidP="00CC56AA">
      <w:pPr>
        <w:spacing w:after="120" w:line="276" w:lineRule="auto"/>
        <w:ind w:left="1134"/>
        <w:jc w:val="both"/>
        <w:rPr>
          <w:rFonts w:ascii="Garamond" w:hAnsi="Garamond"/>
        </w:rPr>
      </w:pPr>
    </w:p>
    <w:p w14:paraId="411CBB92" w14:textId="5E5C4605" w:rsidR="00CC56AA" w:rsidRDefault="00CC56AA" w:rsidP="00CC56AA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10.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84FD2" w:rsidRPr="00F84FD2">
        <w:rPr>
          <w:rFonts w:ascii="Garamond" w:hAnsi="Garamond"/>
        </w:rPr>
        <w:t>Desse modo, conclui-se pela possibilidade de realizar atos de campanha dentro da</w:t>
      </w:r>
      <w:r w:rsidR="00F84FD2">
        <w:rPr>
          <w:rFonts w:ascii="Garamond" w:hAnsi="Garamond"/>
        </w:rPr>
        <w:t>s</w:t>
      </w:r>
      <w:r w:rsidR="00F84FD2" w:rsidRPr="00F84FD2">
        <w:rPr>
          <w:rFonts w:ascii="Garamond" w:hAnsi="Garamond"/>
        </w:rPr>
        <w:t xml:space="preserve"> universidade</w:t>
      </w:r>
      <w:r w:rsidR="00F84FD2">
        <w:rPr>
          <w:rFonts w:ascii="Garamond" w:hAnsi="Garamond"/>
        </w:rPr>
        <w:t>s</w:t>
      </w:r>
      <w:r w:rsidR="00F84FD2" w:rsidRPr="00F84FD2">
        <w:rPr>
          <w:rFonts w:ascii="Garamond" w:hAnsi="Garamond"/>
        </w:rPr>
        <w:t xml:space="preserve"> pública</w:t>
      </w:r>
      <w:r w:rsidR="00A072F0">
        <w:rPr>
          <w:rFonts w:ascii="Garamond" w:hAnsi="Garamond"/>
        </w:rPr>
        <w:t>s</w:t>
      </w:r>
      <w:r w:rsidR="00F84FD2" w:rsidRPr="00F84FD2">
        <w:rPr>
          <w:rFonts w:ascii="Garamond" w:hAnsi="Garamond"/>
        </w:rPr>
        <w:t>, desde que não interrompa as atividades</w:t>
      </w:r>
      <w:r w:rsidR="00F84FD2">
        <w:rPr>
          <w:rFonts w:ascii="Garamond" w:hAnsi="Garamond"/>
        </w:rPr>
        <w:t xml:space="preserve"> e seja espontâneo e sem financiamento dos candidatos</w:t>
      </w:r>
      <w:r w:rsidR="00F84FD2" w:rsidRPr="00F84FD2">
        <w:rPr>
          <w:rFonts w:ascii="Garamond" w:hAnsi="Garamond"/>
        </w:rPr>
        <w:t xml:space="preserve">, sendo vedado o ingresso de agentes públicos, como a </w:t>
      </w:r>
      <w:r w:rsidR="00F84FD2">
        <w:rPr>
          <w:rFonts w:ascii="Garamond" w:hAnsi="Garamond"/>
        </w:rPr>
        <w:t>P</w:t>
      </w:r>
      <w:r w:rsidR="00F84FD2" w:rsidRPr="00F84FD2">
        <w:rPr>
          <w:rFonts w:ascii="Garamond" w:hAnsi="Garamond"/>
        </w:rPr>
        <w:t xml:space="preserve">olícia </w:t>
      </w:r>
      <w:r w:rsidR="00F84FD2">
        <w:rPr>
          <w:rFonts w:ascii="Garamond" w:hAnsi="Garamond"/>
        </w:rPr>
        <w:t>M</w:t>
      </w:r>
      <w:r w:rsidR="00F84FD2" w:rsidRPr="00F84FD2">
        <w:rPr>
          <w:rFonts w:ascii="Garamond" w:hAnsi="Garamond"/>
        </w:rPr>
        <w:t>ilitar, para interromper ou impedir debates e manifestações</w:t>
      </w:r>
      <w:r w:rsidR="00F84FD2">
        <w:rPr>
          <w:rFonts w:ascii="Garamond" w:hAnsi="Garamond"/>
        </w:rPr>
        <w:t xml:space="preserve">. </w:t>
      </w:r>
    </w:p>
    <w:p w14:paraId="209E5E9E" w14:textId="0A655F2B" w:rsidR="005C010D" w:rsidRPr="005C010D" w:rsidRDefault="005C010D" w:rsidP="00CC56AA">
      <w:pPr>
        <w:spacing w:after="120" w:line="360" w:lineRule="auto"/>
        <w:jc w:val="both"/>
        <w:rPr>
          <w:rFonts w:ascii="Garamond" w:hAnsi="Garamond"/>
          <w:b/>
          <w:bCs/>
          <w:smallCaps/>
        </w:rPr>
      </w:pPr>
      <w:r w:rsidRPr="005C010D">
        <w:rPr>
          <w:rFonts w:ascii="Garamond" w:hAnsi="Garamond"/>
          <w:b/>
          <w:bCs/>
          <w:smallCaps/>
        </w:rPr>
        <w:lastRenderedPageBreak/>
        <w:t>Realização de campanha por Servidores Públicos</w:t>
      </w:r>
    </w:p>
    <w:p w14:paraId="075414B1" w14:textId="43947584" w:rsidR="00F84FD2" w:rsidRDefault="00F84FD2" w:rsidP="00CC56AA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11.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C010D">
        <w:rPr>
          <w:rFonts w:ascii="Garamond" w:hAnsi="Garamond"/>
        </w:rPr>
        <w:t>I</w:t>
      </w:r>
      <w:r>
        <w:rPr>
          <w:rFonts w:ascii="Garamond" w:hAnsi="Garamond"/>
        </w:rPr>
        <w:t xml:space="preserve">mportante destacar um outro aspecto, que consiste na possibilidade </w:t>
      </w:r>
      <w:r w:rsidR="006C34F3">
        <w:rPr>
          <w:rFonts w:ascii="Garamond" w:hAnsi="Garamond"/>
        </w:rPr>
        <w:t>de os</w:t>
      </w:r>
      <w:r>
        <w:rPr>
          <w:rFonts w:ascii="Garamond" w:hAnsi="Garamond"/>
        </w:rPr>
        <w:t xml:space="preserve"> servidores públicos participarem das campanhas eleitorais. Neste aspecto, a matéria é menos controversa, de modo que é pacífico a possibilidade dos servidores públicos - cidadãos que são - participarem de campanhas eleitorais, desde que fora do horário de trabalho. </w:t>
      </w:r>
    </w:p>
    <w:p w14:paraId="4183EF8D" w14:textId="77777777" w:rsidR="005C010D" w:rsidRDefault="005C010D" w:rsidP="00CC56AA">
      <w:pPr>
        <w:spacing w:after="120" w:line="360" w:lineRule="auto"/>
        <w:jc w:val="both"/>
        <w:rPr>
          <w:rFonts w:ascii="Garamond" w:hAnsi="Garamond"/>
        </w:rPr>
      </w:pPr>
    </w:p>
    <w:p w14:paraId="44DC4066" w14:textId="34010EE2" w:rsidR="005C010D" w:rsidRDefault="005C010D" w:rsidP="00CC56AA">
      <w:pPr>
        <w:spacing w:after="120" w:line="360" w:lineRule="auto"/>
        <w:jc w:val="both"/>
        <w:rPr>
          <w:rFonts w:ascii="Garamond" w:hAnsi="Garamond"/>
          <w:b/>
          <w:bCs/>
          <w:smallCaps/>
        </w:rPr>
      </w:pPr>
      <w:r w:rsidRPr="005C010D">
        <w:rPr>
          <w:rFonts w:ascii="Garamond" w:hAnsi="Garamond"/>
          <w:b/>
          <w:bCs/>
          <w:smallCaps/>
        </w:rPr>
        <w:t>Manifestação Política por Entidades de Classe</w:t>
      </w:r>
    </w:p>
    <w:p w14:paraId="71FDBD9B" w14:textId="4662100C" w:rsidR="005C010D" w:rsidRDefault="005C010D" w:rsidP="005C010D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12.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Quanto aos limites e possibilidades das entidades de classe, a premissa que deve orientar é a mesma da campanha nas universidades, ou seja, o </w:t>
      </w:r>
      <w:r w:rsidRPr="00A20C1F">
        <w:rPr>
          <w:rFonts w:ascii="Garamond" w:hAnsi="Garamond"/>
        </w:rPr>
        <w:t xml:space="preserve">princípio democrático e proibição de censura (art. 1º, V, e art. 220, §2º, CF), </w:t>
      </w:r>
      <w:r>
        <w:rPr>
          <w:rFonts w:ascii="Garamond" w:hAnsi="Garamond"/>
        </w:rPr>
        <w:t xml:space="preserve">bem como na vedação de </w:t>
      </w:r>
      <w:r w:rsidRPr="00A20C1F">
        <w:rPr>
          <w:rFonts w:ascii="Garamond" w:hAnsi="Garamond"/>
        </w:rPr>
        <w:t>interpretação restritiva das normas eleitorais (art. 37 da Lei nº 9.504/1997).</w:t>
      </w:r>
    </w:p>
    <w:p w14:paraId="553303C4" w14:textId="6413031C" w:rsidR="005C010D" w:rsidRDefault="005C010D" w:rsidP="005C010D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13.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Portanto, é absolutamente lícito que entidades de classe manifestem sua opinião político-eleitoral, até mesmo como forma de orientar seus representados na escolha do voto. Tal prática é costumeiramente comum nos pleitos nacionais, como constata-se do exemplo abaixo da CNA apoiando o Bolsonaro em 2022</w:t>
      </w:r>
      <w:r>
        <w:rPr>
          <w:rStyle w:val="Refdenotaderodap"/>
          <w:rFonts w:ascii="Garamond" w:hAnsi="Garamond"/>
        </w:rPr>
        <w:footnoteReference w:id="2"/>
      </w:r>
      <w:r>
        <w:rPr>
          <w:rFonts w:ascii="Garamond" w:hAnsi="Garamond"/>
        </w:rPr>
        <w:t xml:space="preserve">, nunca obteve nenhum questionamento ou vedação por parte da Justiça Eleitoral. </w:t>
      </w:r>
    </w:p>
    <w:p w14:paraId="5AF89742" w14:textId="60B4A715" w:rsidR="005C010D" w:rsidRDefault="005C010D" w:rsidP="005C010D">
      <w:pPr>
        <w:spacing w:after="120" w:line="360" w:lineRule="auto"/>
        <w:jc w:val="both"/>
        <w:rPr>
          <w:rFonts w:ascii="Garamond" w:hAnsi="Garamond"/>
        </w:rPr>
      </w:pPr>
      <w:r w:rsidRPr="005C010D">
        <w:rPr>
          <w:rFonts w:ascii="Garamond" w:hAnsi="Garamond"/>
          <w:noProof/>
        </w:rPr>
        <w:drawing>
          <wp:inline distT="0" distB="0" distL="0" distR="0" wp14:anchorId="0D7AC1D9" wp14:editId="7F4D70E8">
            <wp:extent cx="5400675" cy="1805940"/>
            <wp:effectExtent l="0" t="0" r="0" b="0"/>
            <wp:docPr id="1524694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940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8B93" w14:textId="5AC0DB2D" w:rsidR="005C010D" w:rsidRDefault="005C010D" w:rsidP="005C010D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14.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Apesar disto, importante ressaltar que apesar de ser livre o apoio político com manifestação pública, é absolutamente vedado o apoio financeiro direto ou indiretamente, conforme vedação expressa do art. 24 da Lei n. 9.504/97:</w:t>
      </w:r>
    </w:p>
    <w:p w14:paraId="644D7113" w14:textId="77777777" w:rsidR="005C010D" w:rsidRPr="005C010D" w:rsidRDefault="005C010D" w:rsidP="005C010D">
      <w:pPr>
        <w:spacing w:after="120" w:line="276" w:lineRule="auto"/>
        <w:ind w:left="1134"/>
        <w:jc w:val="both"/>
        <w:rPr>
          <w:rFonts w:ascii="Garamond" w:hAnsi="Garamond"/>
        </w:rPr>
      </w:pPr>
      <w:r w:rsidRPr="005C010D">
        <w:rPr>
          <w:rFonts w:ascii="Garamond" w:hAnsi="Garamond"/>
        </w:rPr>
        <w:lastRenderedPageBreak/>
        <w:t>Art. 24. É vedado, a partido e candidato, receber direta ou indiretamente doação em dinheiro ou estimável em dinheiro, inclusive por meio de publicidade de qualquer espécie, procedente de:       </w:t>
      </w:r>
      <w:hyperlink r:id="rId10" w:history="1">
        <w:r w:rsidRPr="005C010D">
          <w:rPr>
            <w:rFonts w:ascii="Garamond" w:hAnsi="Garamond"/>
          </w:rPr>
          <w:t>(Vide ADPF Nº 548)</w:t>
        </w:r>
      </w:hyperlink>
    </w:p>
    <w:p w14:paraId="1B6EF11D" w14:textId="5A5EB2E4" w:rsidR="005C010D" w:rsidRPr="005C010D" w:rsidRDefault="005C010D" w:rsidP="005C010D">
      <w:pPr>
        <w:spacing w:after="120" w:line="276" w:lineRule="auto"/>
        <w:ind w:left="1134"/>
        <w:jc w:val="both"/>
        <w:rPr>
          <w:rFonts w:ascii="Garamond" w:hAnsi="Garamond"/>
        </w:rPr>
      </w:pPr>
      <w:bookmarkStart w:id="0" w:name="art24i"/>
      <w:bookmarkEnd w:id="0"/>
      <w:r>
        <w:rPr>
          <w:rFonts w:ascii="Garamond" w:hAnsi="Garamond"/>
        </w:rPr>
        <w:t>(...)</w:t>
      </w:r>
    </w:p>
    <w:p w14:paraId="0A249604" w14:textId="77777777" w:rsidR="005C010D" w:rsidRPr="005C010D" w:rsidRDefault="005C010D" w:rsidP="005C010D">
      <w:pPr>
        <w:spacing w:after="120" w:line="276" w:lineRule="auto"/>
        <w:ind w:left="1134"/>
        <w:jc w:val="both"/>
        <w:rPr>
          <w:rFonts w:ascii="Garamond" w:hAnsi="Garamond"/>
        </w:rPr>
      </w:pPr>
      <w:bookmarkStart w:id="1" w:name="art24vi"/>
      <w:bookmarkEnd w:id="1"/>
      <w:r w:rsidRPr="005C010D">
        <w:rPr>
          <w:rFonts w:ascii="Garamond" w:hAnsi="Garamond"/>
        </w:rPr>
        <w:t xml:space="preserve">VI - </w:t>
      </w:r>
      <w:proofErr w:type="gramStart"/>
      <w:r w:rsidRPr="005C010D">
        <w:rPr>
          <w:rFonts w:ascii="Garamond" w:hAnsi="Garamond"/>
        </w:rPr>
        <w:t>entidade</w:t>
      </w:r>
      <w:proofErr w:type="gramEnd"/>
      <w:r w:rsidRPr="005C010D">
        <w:rPr>
          <w:rFonts w:ascii="Garamond" w:hAnsi="Garamond"/>
        </w:rPr>
        <w:t xml:space="preserve"> de classe ou sindical;</w:t>
      </w:r>
    </w:p>
    <w:p w14:paraId="742317B1" w14:textId="77777777" w:rsidR="005C010D" w:rsidRPr="005C010D" w:rsidRDefault="005C010D" w:rsidP="005C010D">
      <w:bookmarkStart w:id="2" w:name="art24vii"/>
      <w:bookmarkEnd w:id="2"/>
    </w:p>
    <w:p w14:paraId="3EB5F155" w14:textId="7331260D" w:rsidR="005C010D" w:rsidRDefault="005C010D" w:rsidP="005C010D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15.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C010D">
        <w:rPr>
          <w:rFonts w:ascii="Garamond" w:hAnsi="Garamond"/>
          <w:highlight w:val="yellow"/>
        </w:rPr>
        <w:t>Para fins práticos, isto significa que o Sindicato pode manifestar seu apoio político para determinada candidatura, divulgando nas redes e comunicação sindical este entendimento</w:t>
      </w:r>
      <w:r>
        <w:rPr>
          <w:rFonts w:ascii="Garamond" w:hAnsi="Garamond"/>
        </w:rPr>
        <w:t xml:space="preserve">, todavia não pode, por exemplo, ceder o auditório do sindicato para atividade eleitoral. </w:t>
      </w:r>
    </w:p>
    <w:p w14:paraId="3D0F4BC2" w14:textId="381DC8C6" w:rsidR="005C010D" w:rsidRDefault="005C010D" w:rsidP="005C010D">
      <w:pPr>
        <w:spacing w:after="12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16.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Aprofundando, a vedação de publicidade contida no art. 24 é aquela consistente no pedido de voto, com divulgação do número do candidato, não se confundindo na manifestação de apoio político voluntário e sem custos para a entidade de classe, consistente na divulgação de manifesto em portal da entidade. </w:t>
      </w:r>
    </w:p>
    <w:p w14:paraId="298DDAAD" w14:textId="2E5FE250" w:rsidR="005C010D" w:rsidRPr="005C010D" w:rsidRDefault="005C010D" w:rsidP="00CC56AA">
      <w:pPr>
        <w:spacing w:after="120" w:line="360" w:lineRule="auto"/>
        <w:jc w:val="both"/>
        <w:rPr>
          <w:rFonts w:ascii="Garamond" w:hAnsi="Garamond"/>
        </w:rPr>
      </w:pPr>
    </w:p>
    <w:p w14:paraId="0F09125E" w14:textId="3B130ACF" w:rsidR="006C34F3" w:rsidRDefault="006C34F3" w:rsidP="006C34F3">
      <w:pPr>
        <w:spacing w:after="120" w:line="360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Brasília/DF, </w:t>
      </w:r>
      <w:r w:rsidR="005C010D">
        <w:rPr>
          <w:rFonts w:ascii="Garamond" w:hAnsi="Garamond"/>
        </w:rPr>
        <w:t>14</w:t>
      </w:r>
      <w:r>
        <w:rPr>
          <w:rFonts w:ascii="Garamond" w:hAnsi="Garamond"/>
        </w:rPr>
        <w:t xml:space="preserve"> de julho de 2026. </w:t>
      </w:r>
    </w:p>
    <w:p w14:paraId="1E8BCECF" w14:textId="77777777" w:rsidR="006C34F3" w:rsidRDefault="006C34F3" w:rsidP="006C34F3">
      <w:pPr>
        <w:spacing w:after="120" w:line="360" w:lineRule="auto"/>
        <w:jc w:val="right"/>
        <w:rPr>
          <w:rFonts w:ascii="Garamond" w:hAnsi="Garamond"/>
        </w:rPr>
      </w:pPr>
    </w:p>
    <w:p w14:paraId="5CBA6E71" w14:textId="284FD198" w:rsidR="006C34F3" w:rsidRPr="006C34F3" w:rsidRDefault="006C34F3" w:rsidP="006C34F3">
      <w:pPr>
        <w:jc w:val="center"/>
        <w:rPr>
          <w:rFonts w:ascii="Garamond" w:hAnsi="Garamond"/>
          <w:b/>
          <w:bCs/>
          <w:smallCaps/>
        </w:rPr>
      </w:pPr>
      <w:r w:rsidRPr="006C34F3">
        <w:rPr>
          <w:rFonts w:ascii="Garamond" w:hAnsi="Garamond"/>
          <w:b/>
          <w:bCs/>
          <w:smallCaps/>
        </w:rPr>
        <w:t>Jonatas Moreth Mariano</w:t>
      </w:r>
    </w:p>
    <w:p w14:paraId="3EDE10BC" w14:textId="0B6A241A" w:rsidR="006C34F3" w:rsidRPr="006C34F3" w:rsidRDefault="006C34F3" w:rsidP="006C34F3">
      <w:pPr>
        <w:jc w:val="center"/>
        <w:rPr>
          <w:rFonts w:ascii="Garamond" w:hAnsi="Garamond"/>
          <w:b/>
          <w:bCs/>
          <w:smallCaps/>
        </w:rPr>
      </w:pPr>
      <w:r w:rsidRPr="006C34F3">
        <w:rPr>
          <w:rFonts w:ascii="Garamond" w:hAnsi="Garamond"/>
          <w:b/>
          <w:bCs/>
          <w:smallCaps/>
        </w:rPr>
        <w:t>OAB/DF 29.446</w:t>
      </w:r>
    </w:p>
    <w:sectPr w:rsidR="006C34F3" w:rsidRPr="006C34F3">
      <w:headerReference w:type="default" r:id="rId11"/>
      <w:footerReference w:type="default" r:id="rId12"/>
      <w:pgSz w:w="11900" w:h="16840"/>
      <w:pgMar w:top="2381" w:right="1694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5EB3" w14:textId="77777777" w:rsidR="008D4534" w:rsidRDefault="008D4534">
      <w:r>
        <w:separator/>
      </w:r>
    </w:p>
  </w:endnote>
  <w:endnote w:type="continuationSeparator" w:id="0">
    <w:p w14:paraId="4A1AC3C9" w14:textId="77777777" w:rsidR="008D4534" w:rsidRDefault="008D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B869" w14:textId="77777777" w:rsidR="00B83BAD" w:rsidRDefault="00073B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EB0C42" wp14:editId="1591CA4D">
          <wp:simplePos x="0" y="0"/>
          <wp:positionH relativeFrom="page">
            <wp:posOffset>7620</wp:posOffset>
          </wp:positionH>
          <wp:positionV relativeFrom="paragraph">
            <wp:posOffset>-433705</wp:posOffset>
          </wp:positionV>
          <wp:extent cx="7815580" cy="605155"/>
          <wp:effectExtent l="0" t="0" r="0" b="444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r="-2767"/>
                  <a:stretch>
                    <a:fillRect/>
                  </a:stretch>
                </pic:blipFill>
                <pic:spPr>
                  <a:xfrm>
                    <a:off x="0" y="0"/>
                    <a:ext cx="7815580" cy="605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D178" w14:textId="77777777" w:rsidR="008D4534" w:rsidRDefault="008D4534">
      <w:r>
        <w:separator/>
      </w:r>
    </w:p>
  </w:footnote>
  <w:footnote w:type="continuationSeparator" w:id="0">
    <w:p w14:paraId="03E8B605" w14:textId="77777777" w:rsidR="008D4534" w:rsidRDefault="008D4534">
      <w:r>
        <w:continuationSeparator/>
      </w:r>
    </w:p>
  </w:footnote>
  <w:footnote w:id="1">
    <w:p w14:paraId="2BFFC770" w14:textId="0327C3CC" w:rsidR="00A20C1F" w:rsidRDefault="00A20C1F" w:rsidP="00A20C1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art. 24 trata da vedação de partidos e candidatos/as receberam doação direta ou indireta de órgãos da administração pública, entidades de classe e outras. Já o art. 37 regulamenta as vedações de propaganda em bens públicos. </w:t>
      </w:r>
    </w:p>
  </w:footnote>
  <w:footnote w:id="2">
    <w:p w14:paraId="486B39CA" w14:textId="51D3E464" w:rsidR="005C010D" w:rsidRDefault="005C010D">
      <w:pPr>
        <w:pStyle w:val="Textodenotaderodap"/>
      </w:pPr>
      <w:r>
        <w:rPr>
          <w:rStyle w:val="Refdenotaderodap"/>
        </w:rPr>
        <w:footnoteRef/>
      </w:r>
      <w:r>
        <w:t xml:space="preserve"> Disponível em: </w:t>
      </w:r>
      <w:hyperlink r:id="rId1" w:history="1">
        <w:r w:rsidRPr="0010354F">
          <w:rPr>
            <w:rStyle w:val="Hyperlink"/>
          </w:rPr>
          <w:t>https://valor.globo.com/politica/noticia/2022/08/11/em-clima-de-comicio-cna-ataca-lula-e-apoia-bolsonaro.ghtml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2112" w14:textId="77777777" w:rsidR="00B83BAD" w:rsidRDefault="00073BE6">
    <w:pPr>
      <w:tabs>
        <w:tab w:val="center" w:pos="4320"/>
        <w:tab w:val="right" w:pos="8640"/>
        <w:tab w:val="left" w:pos="284"/>
      </w:tabs>
      <w:ind w:left="-142"/>
      <w:rPr>
        <w:color w:val="000000"/>
      </w:rPr>
    </w:pPr>
    <w:r>
      <w:rPr>
        <w:noProof/>
      </w:rPr>
      <w:drawing>
        <wp:inline distT="114300" distB="114300" distL="114300" distR="114300" wp14:anchorId="1920A6E6" wp14:editId="14AF80C0">
          <wp:extent cx="1962150" cy="108807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1088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8A3"/>
    <w:multiLevelType w:val="hybridMultilevel"/>
    <w:tmpl w:val="E7E6F2C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C1A54"/>
    <w:multiLevelType w:val="hybridMultilevel"/>
    <w:tmpl w:val="8E2E14BE"/>
    <w:lvl w:ilvl="0" w:tplc="061CB4DA">
      <w:start w:val="1"/>
      <w:numFmt w:val="decimalZero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A1A"/>
    <w:multiLevelType w:val="multilevel"/>
    <w:tmpl w:val="0FFE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94F"/>
    <w:multiLevelType w:val="hybridMultilevel"/>
    <w:tmpl w:val="CFAA5CF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1EC13E4"/>
    <w:multiLevelType w:val="hybridMultilevel"/>
    <w:tmpl w:val="8106372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243A48"/>
    <w:multiLevelType w:val="multilevel"/>
    <w:tmpl w:val="3254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428417">
    <w:abstractNumId w:val="5"/>
  </w:num>
  <w:num w:numId="2" w16cid:durableId="1522864221">
    <w:abstractNumId w:val="0"/>
  </w:num>
  <w:num w:numId="3" w16cid:durableId="1205824867">
    <w:abstractNumId w:val="2"/>
  </w:num>
  <w:num w:numId="4" w16cid:durableId="1181044442">
    <w:abstractNumId w:val="4"/>
  </w:num>
  <w:num w:numId="5" w16cid:durableId="227957397">
    <w:abstractNumId w:val="3"/>
  </w:num>
  <w:num w:numId="6" w16cid:durableId="78920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BAD"/>
    <w:rsid w:val="00073BE6"/>
    <w:rsid w:val="000F3112"/>
    <w:rsid w:val="004764EF"/>
    <w:rsid w:val="0053103F"/>
    <w:rsid w:val="00567BD9"/>
    <w:rsid w:val="005C010D"/>
    <w:rsid w:val="006C34F3"/>
    <w:rsid w:val="00874F97"/>
    <w:rsid w:val="00882662"/>
    <w:rsid w:val="008B06FC"/>
    <w:rsid w:val="008D4534"/>
    <w:rsid w:val="009B07FF"/>
    <w:rsid w:val="00A00796"/>
    <w:rsid w:val="00A072F0"/>
    <w:rsid w:val="00A20C1F"/>
    <w:rsid w:val="00B83BAD"/>
    <w:rsid w:val="00CC56AA"/>
    <w:rsid w:val="00D063EE"/>
    <w:rsid w:val="00D73842"/>
    <w:rsid w:val="00E23EB1"/>
    <w:rsid w:val="00E32704"/>
    <w:rsid w:val="00EB237B"/>
    <w:rsid w:val="00F84FD2"/>
    <w:rsid w:val="00F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FD50"/>
  <w15:docId w15:val="{55C482D5-9BD3-4E5F-8F70-6A60C45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0D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FC46B6"/>
    <w:pPr>
      <w:ind w:left="720"/>
      <w:contextualSpacing/>
    </w:pPr>
    <w:rPr>
      <w:rFonts w:ascii="Cambria" w:eastAsia="Cambria" w:hAnsi="Cambria" w:cs="Cambria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567BD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7BD9"/>
    <w:pPr>
      <w:tabs>
        <w:tab w:val="center" w:pos="4252"/>
        <w:tab w:val="right" w:pos="8504"/>
      </w:tabs>
    </w:pPr>
    <w:rPr>
      <w:rFonts w:ascii="Cambria" w:eastAsia="Cambria" w:hAnsi="Cambria" w:cs="Cambria"/>
    </w:rPr>
  </w:style>
  <w:style w:type="character" w:customStyle="1" w:styleId="CabealhoChar">
    <w:name w:val="Cabeçalho Char"/>
    <w:basedOn w:val="Fontepargpadro"/>
    <w:link w:val="Cabealho"/>
    <w:uiPriority w:val="99"/>
    <w:rsid w:val="00567BD9"/>
  </w:style>
  <w:style w:type="paragraph" w:styleId="Rodap">
    <w:name w:val="footer"/>
    <w:basedOn w:val="Normal"/>
    <w:link w:val="RodapChar"/>
    <w:uiPriority w:val="99"/>
    <w:unhideWhenUsed/>
    <w:rsid w:val="00567BD9"/>
    <w:pPr>
      <w:tabs>
        <w:tab w:val="center" w:pos="4252"/>
        <w:tab w:val="right" w:pos="8504"/>
      </w:tabs>
    </w:pPr>
    <w:rPr>
      <w:rFonts w:ascii="Cambria" w:eastAsia="Cambria" w:hAnsi="Cambria" w:cs="Cambria"/>
    </w:rPr>
  </w:style>
  <w:style w:type="character" w:customStyle="1" w:styleId="RodapChar">
    <w:name w:val="Rodapé Char"/>
    <w:basedOn w:val="Fontepargpadro"/>
    <w:link w:val="Rodap"/>
    <w:uiPriority w:val="99"/>
    <w:rsid w:val="00567BD9"/>
  </w:style>
  <w:style w:type="character" w:styleId="MenoPendente">
    <w:name w:val="Unresolved Mention"/>
    <w:basedOn w:val="Fontepargpadro"/>
    <w:uiPriority w:val="99"/>
    <w:semiHidden/>
    <w:unhideWhenUsed/>
    <w:rsid w:val="00567BD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0C1F"/>
    <w:rPr>
      <w:rFonts w:ascii="Cambria" w:eastAsia="Cambria" w:hAnsi="Cambria" w:cs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0C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0C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C01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rtal.stf.jus.br/processos/detalhe.asp?incidente=557641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alor.globo.com/politica/noticia/2022/08/11/em-clima-de-comicio-cna-ataca-lula-e-apoia-bolsonaro.g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aX+mHK2ET9Enh9+nd9LmSiR2g==">CgMxLjAaHwoBMBIaChgICVIUChJ0YWJsZS4yOHQ3dnk4bnFvMWE4AHIhMTlrNlp5SC1RUkI4aFFBUkdxUjN2czY5RnhkTVNrcHl0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5FDB6E-576D-4225-B058-03B4F5B6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7775</Characters>
  <Application>Microsoft Office Word</Application>
  <DocSecurity>0</DocSecurity>
  <Lines>112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2</dc:creator>
  <cp:lastModifiedBy>MARIA CARLOTTO</cp:lastModifiedBy>
  <cp:revision>2</cp:revision>
  <dcterms:created xsi:type="dcterms:W3CDTF">2026-07-15T15:15:00Z</dcterms:created>
  <dcterms:modified xsi:type="dcterms:W3CDTF">2026-07-15T15:15:00Z</dcterms:modified>
</cp:coreProperties>
</file>